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'1.0' encoding='UTF-8'?>
<Relationships xmlns="http://schemas.openxmlformats.org/package/2006/relationships"><Relationship Type="http://schemas.openxmlformats.org/officeDocument/2006/relationships/officeDocument" Target="word/document.xml" Id="R00d802ffb82641c6" />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" name="CoverB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Bg.png"/>
                    <pic:cNvPicPr/>
                  </pic:nvPicPr>
                  <pic:blipFill>
                    <a:blip r:embed="Reda05abc721d48ea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before="4000"/>
      </w:pPr>
      <w:r/>
    </w:p>
    <w:p>
      <w:pPr>
        <w:spacing w:after="200"/>
        <w:ind w:left="1200" w:right="1200"/>
      </w:pPr>
      <w:r>
        <w:rPr>
          <w:rFonts w:ascii="Calibri" w:hAnsi="Calibri" w:eastAsia="Microsoft YaHei"/>
          <w:b/>
          <w:color w:val="2E6B7A"/>
          <w:spacing w:val="30"/>
          <w:sz w:val="72"/>
        </w:rPr>
        <w:t>MTC术前准备清单</w:t>
      </w:r>
    </w:p>
    <w:p>
      <w:pPr>
        <w:spacing w:after="600"/>
        <w:ind w:left="1200" w:right="1200"/>
      </w:pPr>
      <w:r>
        <w:rPr>
          <w:rFonts w:ascii="Calibri" w:hAnsi="Calibri" w:eastAsia="Microsoft YaHei"/>
          <w:color w:val="4A90A4"/>
          <w:spacing w:val="15"/>
          <w:sz w:val="28"/>
        </w:rPr>
        <w:t>甲状腺髓样癌术前综合评估与准备</w:t>
      </w:r>
    </w:p>
    <w:p>
      <w:pPr>
        <w:pBdr>
          <w:bottom w:val="single" w:color="6BB3C7" w:sz="8"/>
        </w:pBdr>
        <w:ind w:left="1200" w:right="7200"/>
      </w:pPr>
      <w:r/>
    </w:p>
    <w:p>
      <w:pPr>
        <w:spacing w:before="400"/>
        <w:ind w:left="1200"/>
      </w:pPr>
      <w:r>
        <w:rPr>
          <w:rFonts w:ascii="Calibri" w:hAnsi="Calibri" w:eastAsia="Microsoft YaHei"/>
          <w:color w:val="3D6B7A"/>
          <w:sz w:val="22"/>
        </w:rPr>
        <w:t>患者：邓莉莉  |  50岁  |  女</w:t>
      </w:r>
    </w:p>
    <w:p>
      <w:pPr>
        <w:spacing w:before="120"/>
        <w:ind w:left="1200"/>
      </w:pPr>
      <w:r>
        <w:rPr>
          <w:rFonts w:ascii="Calibri" w:hAnsi="Calibri" w:eastAsia="Microsoft YaHei"/>
          <w:color w:val="3D6B7A"/>
          <w:sz w:val="22"/>
        </w:rPr>
        <w:t>手术日期：2026年5月29日</w:t>
      </w:r>
    </w:p>
    <w:p>
      <w:pPr>
        <w:spacing w:before="120"/>
        <w:ind w:left="1200"/>
      </w:pPr>
      <w:r>
        <w:rPr>
          <w:rFonts w:ascii="Calibri" w:hAnsi="Calibri" w:eastAsia="Microsoft YaHei"/>
          <w:color w:val="3D6B7A"/>
          <w:sz w:val="22"/>
        </w:rPr>
        <w:t>主刀医生：徐协群主任  |  北京协和医院</w:t>
      </w:r>
    </w:p>
    <w:p>
      <w:pPr>
        <w:spacing w:before="120" w:after="3000"/>
        <w:ind w:left="1200"/>
      </w:pPr>
      <w:r>
        <w:rPr>
          <w:rFonts w:ascii="Calibri" w:hAnsi="Calibri" w:eastAsia="Microsoft YaHei"/>
          <w:color w:val="7BA3B0"/>
          <w:sz w:val="20"/>
        </w:rPr>
        <w:t>本清单整合了ATA 2015 / NCCN 2024 / CACA 2022三大指南及最新循证医学研究</w:t>
      </w:r>
    </w:p>
    <w:p>
      <w:pPr>
        <w:spacing w:before="600"/>
        <w:ind w:left="1200" w:right="1200"/>
      </w:pPr>
      <w:r>
        <w:rPr>
          <w:rFonts w:ascii="Calibri" w:hAnsi="Calibri" w:eastAsia="Microsoft YaHei"/>
          <w:i/>
          <w:color w:val="7BA3B0"/>
          <w:sz w:val="16"/>
        </w:rPr>
        <w:t>声明：本清单基于患者提供的医疗文件和公开医学文献整理，仅供参考。最终诊断和治疗方案由徐协群主任及其医疗团队确定。</w:t>
      </w:r>
    </w:p>
    <w:p>
      <w:pPr>
        <w:sectPr>
          <w:type w:val="nextPage"/>
          <w:pgSz w:w="11906" w:h="16838"/>
          <w:pgMar w:top="0" w:right="0" w:bottom="0" w:left="0" w:header="0" w:footer="0"/>
          <w:titlePg/>
        </w:sectPr>
      </w:pPr>
    </w:p>
    <w:p>
      <w:pPr>
        <w:pStyle w:val="Heading1"/>
      </w:pPr>
      <w:r>
        <w:t>目录</w:t>
      </w:r>
      <w:bookmarkStart w:name="_Toc000" w:id="1"/>
      <w:bookmarkEnd w:id="1"/>
    </w:p>
    <w:p>
      <w:pPr>
        <w:spacing w:after="200"/>
      </w:pPr>
      <w:r>
        <w:rPr>
          <w:rFonts w:ascii="Calibri" w:hAnsi="Calibri" w:eastAsia="Microsoft YaHei"/>
          <w:color w:val="7BA3B0"/>
          <w:sz w:val="18"/>
        </w:rPr>
        <w:t>右键目录，选择"更新域"刷新页码</w:t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</w:p>
    <w:p>
      <w:pPr>
        <w:pStyle w:val="TOC1"/>
      </w:pPr>
      <w:r>
        <w:t>一、患者基本信息与手术概况</w:t>
      </w:r>
      <w:r>
        <w:tab/>
      </w:r>
      <w:r>
        <w:t>3</w:t>
      </w:r>
    </w:p>
    <w:p>
      <w:pPr>
        <w:pStyle w:val="TOC1"/>
      </w:pPr>
      <w:r>
        <w:t>二、术前检查清单</w:t>
      </w:r>
      <w:r>
        <w:tab/>
      </w:r>
      <w:r>
        <w:t>4</w:t>
      </w:r>
    </w:p>
    <w:p>
      <w:pPr>
        <w:pStyle w:val="TOC2"/>
      </w:pPr>
      <w:r>
        <w:t>2.1 抽血检查</w:t>
      </w:r>
      <w:r>
        <w:tab/>
      </w:r>
      <w:r>
        <w:t>4</w:t>
      </w:r>
    </w:p>
    <w:p>
      <w:pPr>
        <w:pStyle w:val="TOC2"/>
      </w:pPr>
      <w:r>
        <w:t>2.2 影像检查</w:t>
      </w:r>
      <w:r>
        <w:tab/>
      </w:r>
      <w:r>
        <w:t>5</w:t>
      </w:r>
    </w:p>
    <w:p>
      <w:pPr>
        <w:pStyle w:val="TOC2"/>
      </w:pPr>
      <w:r>
        <w:t>2.3 术前会诊</w:t>
      </w:r>
      <w:r>
        <w:tab/>
      </w:r>
      <w:r>
        <w:t>6</w:t>
      </w:r>
    </w:p>
    <w:p>
      <w:pPr>
        <w:pStyle w:val="TOC1"/>
      </w:pPr>
      <w:r>
        <w:t>三、手术方案确认</w:t>
      </w:r>
      <w:r>
        <w:tab/>
      </w:r>
      <w:r>
        <w:t>7</w:t>
      </w:r>
    </w:p>
    <w:p>
      <w:pPr>
        <w:pStyle w:val="TOC2"/>
      </w:pPr>
      <w:r>
        <w:t>3.1 全切方案与指南符合性</w:t>
      </w:r>
      <w:r>
        <w:tab/>
      </w:r>
      <w:r>
        <w:t>7</w:t>
      </w:r>
    </w:p>
    <w:p>
      <w:pPr>
        <w:pStyle w:val="TOC2"/>
      </w:pPr>
      <w:r>
        <w:t>3.2 术中关键技术与风险</w:t>
      </w:r>
      <w:r>
        <w:tab/>
      </w:r>
      <w:r>
        <w:t>8</w:t>
      </w:r>
    </w:p>
    <w:p>
      <w:pPr>
        <w:pStyle w:val="TOC1"/>
      </w:pPr>
      <w:r>
        <w:t>四、术后即刻管理（0-3天）</w:t>
      </w:r>
      <w:r>
        <w:tab/>
      </w:r>
      <w:r>
        <w:t>9</w:t>
      </w:r>
    </w:p>
    <w:p>
      <w:pPr>
        <w:pStyle w:val="TOC1"/>
      </w:pPr>
      <w:r>
        <w:t>五、术后长期随访方案</w:t>
      </w:r>
      <w:r>
        <w:tab/>
      </w:r>
      <w:r>
        <w:t>10</w:t>
      </w:r>
    </w:p>
    <w:p>
      <w:pPr>
        <w:pStyle w:val="TOC1"/>
      </w:pPr>
      <w:r>
        <w:t>六、遗传学筛查规划</w:t>
      </w:r>
      <w:r>
        <w:tab/>
      </w:r>
      <w:r>
        <w:t>11</w:t>
      </w:r>
    </w:p>
    <w:p>
      <w:pPr>
        <w:pStyle w:val="TOC1"/>
      </w:pPr>
      <w:r>
        <w:t>七、住院携带清单</w:t>
      </w:r>
      <w:r>
        <w:tab/>
      </w:r>
      <w:r>
        <w:t>12</w:t>
      </w:r>
    </w:p>
    <w:p>
      <w:r>
        <w:fldChar w:fldCharType="end"/>
      </w:r>
    </w:p>
    <w:p>
      <w:pPr>
        <w:sectPr>
          <w:type w:val="nextPage"/>
          <w:pgSz w:w="11906" w:h="16838"/>
          <w:pgMar w:top="1800" w:right="1440" w:bottom="1440" w:left="1440" w:header="720" w:footer="720"/>
        </w:sectPr>
      </w:pPr>
    </w:p>
    <w:p>
      <w:pPr>
        <w:pStyle w:val="Heading1"/>
      </w:pPr>
      <w:r>
        <w:t>一、患者基本信息与手术概况</w:t>
      </w:r>
      <w:bookmarkStart w:name="_Toc001" w:id="2"/>
      <w:bookmarkEnd w:id="2"/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2400"/>
        <w:gridCol w:w="3000"/>
        <w:gridCol w:w="2400"/>
        <w:gridCol w:w="3000"/>
      </w:tblGrid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姓名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邓莉莉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年龄/性别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50岁 / 女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手术日期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2026-05-29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主刀医生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徐协群主任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手术医院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北京协和医院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手术方案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全切+双侧中央区清扫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TNM分期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T1a Nx M0, I期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基因突变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RAS Q61R (+)</w:t>
            </w:r>
          </w:p>
        </w:tc>
      </w:tr>
    </w:tbl>
    <w:p>
      <w:r>
        <w:t>诊断：甲状腺髓样癌（MTC）已确诊。大结节1.0cm位于右叶，免疫组化CT(+)/CgA(+)/Syn(+)/CEA(+)/TG(-)，Ki67 2%，基因RAS Q61R(+)。小结节0.9cm高度可疑，建议术中一并切除送冰冻病理。</w:t>
      </w:r>
    </w:p>
    <w:p>
      <w:pPr>
        <w:pStyle w:val="Heading1"/>
      </w:pPr>
      <w:r>
        <w:t>二、术前检查清单</w:t>
      </w:r>
      <w:bookmarkStart w:name="_Toc002" w:id="3"/>
      <w:bookmarkEnd w:id="3"/>
    </w:p>
    <w:p>
      <w:pPr>
        <w:pStyle w:val="Heading2"/>
      </w:pPr>
      <w:r>
        <w:t>2.1 抽血检查（住院当天一次抽血覆盖）</w:t>
      </w:r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1600"/>
        <w:gridCol w:w="2400"/>
        <w:gridCol w:w="5000"/>
      </w:tblGrid>
      <w:tr>
        <w:trPr>
          <w:tblHeader/>
        </w:trPr>
        <w:tc>
          <w:tcPr>
            <w:tcW w:w="16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优先级</w:t>
            </w:r>
          </w:p>
        </w:tc>
        <w:tc>
          <w:tcPr>
            <w:tcW w:w="24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检查项目</w:t>
            </w:r>
          </w:p>
        </w:tc>
        <w:tc>
          <w:tcPr>
            <w:tcW w:w="50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目的/原因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血常规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麻醉常规，基础评估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凝血功能（PT/APTT/INR）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麻醉常规，预防出血；芬吗通可能轻度影响凝血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肝功能（ALT/AST/胆红素）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排除胆道梗阻；Gilbert综合征基线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肾功能（肌酐/尿素氮）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评估肾功能，麻醉用药调整依据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电解质（血钙/磷/钾/钠/氯）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血钙：甲状旁腺损伤监测基线；钾/钠/氯：麻醉常规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C0392B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PTH（甲状旁腺激素）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术中可能损伤甲状旁腺，需术前基线；已有骨量减少，更重要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C0392B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25(OH)维生素D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骨量减少，术前确认VitD储备，不足则术前开始补充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空腹血糖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麻醉常规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甲功（TSH/FT3/FT4/Tg/TgAb/TPOAb）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术前基线，术后对比调药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降钙素 + CEA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术前基线（协和124 / 中日170），术后判断生化治愈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淀粉酶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术前基线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住院查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D-二聚体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VTE风险评估，芬吗通+HRT需关注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住院查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血型+交叉配血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备血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住院查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传染病四项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手术常规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住院查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尿常规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麻醉常规</w:t>
            </w:r>
          </w:p>
        </w:tc>
      </w:tr>
    </w:tbl>
    <w:p>
      <w:r>
        <w:t>以上为住院当天一次抽血可覆盖的全部项目。其中血钙+PTH+25(OH)维生素D三项对骨量减少患者尤为重要，需建立基线以便术后对照。</w:t>
      </w:r>
    </w:p>
    <w:p>
      <w:pPr>
        <w:pStyle w:val="Heading2"/>
      </w:pPr>
      <w:r>
        <w:t>2.2 影像检查</w:t>
      </w:r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1600"/>
        <w:gridCol w:w="2200"/>
        <w:gridCol w:w="4200"/>
        <w:gridCol w:w="1800"/>
      </w:tblGrid>
      <w:tr>
        <w:trPr>
          <w:tblHeader/>
        </w:trPr>
        <w:tc>
          <w:tcPr>
            <w:tcW w:w="16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优先级</w:t>
            </w:r>
          </w:p>
        </w:tc>
        <w:tc>
          <w:tcPr>
            <w:tcW w:w="22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检查项目</w:t>
            </w:r>
          </w:p>
        </w:tc>
        <w:tc>
          <w:tcPr>
            <w:tcW w:w="42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目的/原因</w:t>
            </w:r>
          </w:p>
        </w:tc>
        <w:tc>
          <w:tcPr>
            <w:tcW w:w="18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状态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必须</w:t>
            </w:r>
          </w:p>
        </w:tc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喉镜（声带功能）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甲状腺手术必做，建立声带运动基线</w:t>
            </w:r>
          </w:p>
        </w:tc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住院前完成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强烈建议</w:t>
            </w:r>
          </w:p>
        </w:tc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心脏超声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确认EF和瓣膜状态；二尖瓣少量反流需确认</w:t>
            </w:r>
          </w:p>
        </w:tc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建议复查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强烈建议</w:t>
            </w:r>
          </w:p>
        </w:tc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颈部超声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确认右颈III区淋巴结术前定位</w:t>
            </w:r>
          </w:p>
        </w:tc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已有，住院复查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C0392B"/>
                <w:sz w:val="20"/>
              </w:rPr>
              <w:t>强烈建议</w:t>
            </w:r>
          </w:p>
        </w:tc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颈部增强CT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降钙素170接近侧颈清扫阈值，需精确评估淋巴结</w:t>
            </w:r>
          </w:p>
        </w:tc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尽快安排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建议</w:t>
            </w:r>
          </w:p>
        </w:tc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胸部薄层CT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肺大泡13x14mm，与麻醉科沟通气胸风险</w:t>
            </w:r>
          </w:p>
        </w:tc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2025-12已有</w:t>
            </w:r>
          </w:p>
        </w:tc>
      </w:tr>
      <w:tr>
        <w:tc>
          <w:tcPr>
            <w:tcW w:w="1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建议</w:t>
            </w:r>
          </w:p>
        </w:tc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腹部B超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确认胆囊壁增厚+息肉、肾低密度影当前状态</w:t>
            </w:r>
          </w:p>
        </w:tc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建议复查</w:t>
            </w:r>
          </w:p>
        </w:tc>
      </w:tr>
    </w:tbl>
    <w:p>
      <w:pPr>
        <w:pBdr>
          <w:left w:val="single" w:color="E67E22" w:sz="18"/>
        </w:pBdr>
        <w:shd w:val="clear" w:fill="FFF8E1"/>
        <w:spacing w:before="120" w:after="120"/>
        <w:ind w:left="240" w:firstLine="0"/>
      </w:pPr>
      <w:r>
        <w:rPr>
          <w:rFonts w:ascii="Calibri" w:hAnsi="Calibri" w:eastAsia="Microsoft YaHei"/>
          <w:color w:val="1A3A47"/>
          <w:sz w:val="20"/>
        </w:rPr>
        <w:t>【颈部增强CT调整说明】原清单列为"建议"级，经与ATA 2015/NCCN 2024指南及最新研究比对，鉴于降钙素170 pg/mL已处于"中央区转移可能"区间（20-200），且接近侧颈区清扫阈值（&gt;200），术前通过增强CT精确评估淋巴结状态具有重要指导价值。建议提升为"强烈建议"，尽快安排。</w:t>
      </w:r>
    </w:p>
    <w:p>
      <w:pPr>
        <w:pStyle w:val="Heading2"/>
      </w:pPr>
      <w:r>
        <w:t>2.3 术前会诊</w:t>
      </w:r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1800"/>
        <w:gridCol w:w="4200"/>
        <w:gridCol w:w="4000"/>
      </w:tblGrid>
      <w:tr>
        <w:trPr>
          <w:tblHeader/>
        </w:trPr>
        <w:tc>
          <w:tcPr>
            <w:tcW w:w="18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科室</w:t>
            </w:r>
          </w:p>
        </w:tc>
        <w:tc>
          <w:tcPr>
            <w:tcW w:w="42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会诊原因</w:t>
            </w:r>
          </w:p>
        </w:tc>
        <w:tc>
          <w:tcPr>
            <w:tcW w:w="40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需要带的资料</w:t>
            </w:r>
          </w:p>
        </w:tc>
      </w:tr>
      <w:tr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C0392B"/>
                <w:sz w:val="20"/>
              </w:rPr>
              <w:t>心内科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频发室早（904/天）+室速（1阵194bpm）+冠脉钙化斑块，评估麻醉风险</w:t>
            </w:r>
          </w:p>
        </w:tc>
        <w:tc>
          <w:tcPr>
            <w:tcW w:w="4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Holter（5次）、冠脉CTA、心超、心电图</w:t>
            </w:r>
          </w:p>
        </w:tc>
      </w:tr>
      <w:tr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麻醉科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肺大泡气胸风险+室早/室速术中监测需求</w:t>
            </w:r>
          </w:p>
        </w:tc>
        <w:tc>
          <w:tcPr>
            <w:tcW w:w="4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肺CT、Holter、心内科评估意见</w:t>
            </w:r>
          </w:p>
        </w:tc>
      </w:tr>
      <w:tr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E67E22"/>
                <w:sz w:val="20"/>
              </w:rPr>
              <w:t>内分泌科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HRT 12年+术后优甲乐替代，芬吗通停药决策</w:t>
            </w:r>
          </w:p>
        </w:tc>
        <w:tc>
          <w:tcPr>
            <w:tcW w:w="4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HRT用药记录、甲功化验</w:t>
            </w:r>
          </w:p>
        </w:tc>
      </w:tr>
      <w:tr>
        <w:tc>
          <w:tcPr>
            <w:tcW w:w="1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耳鼻喉科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喉镜评估声带功能</w:t>
            </w:r>
          </w:p>
        </w:tc>
        <w:tc>
          <w:tcPr>
            <w:tcW w:w="4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无特殊</w:t>
            </w:r>
          </w:p>
        </w:tc>
      </w:tr>
    </w:tbl>
    <w:p>
      <w:pPr>
        <w:pBdr>
          <w:left w:val="single" w:color="E67E22" w:sz="18"/>
        </w:pBdr>
        <w:shd w:val="clear" w:fill="FFF8E1"/>
        <w:spacing w:before="120" w:after="120"/>
        <w:ind w:left="240" w:firstLine="0"/>
      </w:pPr>
      <w:r>
        <w:rPr>
          <w:rFonts w:ascii="Calibri" w:hAnsi="Calibri" w:eastAsia="Microsoft YaHei"/>
          <w:color w:val="1A3A47"/>
          <w:sz w:val="20"/>
        </w:rPr>
        <w:t>【芬吗通停药调整说明】原清单提出"术前是否停药"的疑问。经查阅苏格兰SIGN围手术期HRT管理指南及NICE相关建议：口服雌激素择期术前理想停药时间为4周，但距手术仅3天，停药窗口已过。突然停药弊大于利（无法快速逆转凝血状态+可能引发血管舒缩症状）。建议方案：（1）立即与徐主任/麻醉科沟通确认；（2）最可能方案为继续服用至手术当天，术后恢复活动后即可恢复用药，同时强化VTE预防（IPC加压装置+术后低分子肝素）。</w:t>
      </w:r>
    </w:p>
    <w:p>
      <w:pPr>
        <w:pStyle w:val="Heading1"/>
      </w:pPr>
      <w:r>
        <w:t>三、手术方案确认</w:t>
      </w:r>
      <w:bookmarkStart w:name="_Toc003" w:id="4"/>
      <w:bookmarkEnd w:id="4"/>
    </w:p>
    <w:p>
      <w:pPr>
        <w:pStyle w:val="Heading2"/>
      </w:pPr>
      <w:r>
        <w:t>3.1 全切方案与指南符合性</w:t>
      </w:r>
    </w:p>
    <w:p>
      <w:r>
        <w:t>徐协群主任明确的手术方案为：甲状腺全切 + 双侧中央区（VI区）淋巴结清扫。该方案完全符合ATA 2015 / NCCN 2024 / CACA 2022三大指南的核心推荐。</w:t>
      </w:r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2400"/>
        <w:gridCol w:w="4200"/>
        <w:gridCol w:w="3400"/>
      </w:tblGrid>
      <w:tr>
        <w:trPr>
          <w:tblHeader/>
        </w:trPr>
        <w:tc>
          <w:tcPr>
            <w:tcW w:w="24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方案要素</w:t>
            </w:r>
          </w:p>
        </w:tc>
        <w:tc>
          <w:tcPr>
            <w:tcW w:w="42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指南推荐</w:t>
            </w:r>
          </w:p>
        </w:tc>
        <w:tc>
          <w:tcPr>
            <w:tcW w:w="34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莉莉具体情况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甲状腺切除范围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MTC标准术式：甲状腺全切</w:t>
            </w:r>
          </w:p>
        </w:tc>
        <w:tc>
          <w:tcPr>
            <w:tcW w:w="3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全切（徐主任方案）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中央区淋巴结清扫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所有MTC患者均推荐双侧中央区清扫</w:t>
            </w:r>
          </w:p>
        </w:tc>
        <w:tc>
          <w:tcPr>
            <w:tcW w:w="3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双侧中央区清扫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侧颈区淋巴结清扫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cN1b治疗性清扫；降钙素&gt;200考虑清扫</w:t>
            </w:r>
          </w:p>
        </w:tc>
        <w:tc>
          <w:tcPr>
            <w:tcW w:w="3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降钙素170接近阈值，术中探查+冰冻决定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术中神经监测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推荐（保护喉返神经）</w:t>
            </w:r>
          </w:p>
        </w:tc>
        <w:tc>
          <w:tcPr>
            <w:tcW w:w="3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建议使用IONM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甲状旁腺保护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术中识别+原位保留；误切可自体移植</w:t>
            </w:r>
          </w:p>
        </w:tc>
        <w:tc>
          <w:tcPr>
            <w:tcW w:w="3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推荐；可询问ICG-NIR技术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术中冰冻病理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推荐（小结节+可疑淋巴结送检）</w:t>
            </w:r>
          </w:p>
        </w:tc>
        <w:tc>
          <w:tcPr>
            <w:tcW w:w="3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小结节+可疑淋巴结送检</w:t>
            </w:r>
          </w:p>
        </w:tc>
      </w:tr>
    </w:tbl>
    <w:p>
      <w:r>
        <w:t>关于全切vs半切的考量：虽然2024-2025年有SEER数据库研究提示早期局限型MTC半切可能获得等效生存，但莉莉存在双结节（大结节已确诊MTC，小结节0.9cm高度可疑）、降钙素170 pg/mL提示中央区转移可能、淋巴结状态待查等复杂因素。全切+双侧中央区清扫仍是当前最稳妥的选择，可避免二次手术风险，并保留术后降钙素监测能力。</w:t>
      </w:r>
    </w:p>
    <w:p>
      <w:pPr>
        <w:pStyle w:val="Heading2"/>
      </w:pPr>
      <w:r>
        <w:t>3.2 术中关键技术与风险</w:t>
      </w:r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2000"/>
        <w:gridCol w:w="2400"/>
        <w:gridCol w:w="2600"/>
        <w:gridCol w:w="3000"/>
      </w:tblGrid>
      <w:tr>
        <w:trPr>
          <w:tblHeader/>
        </w:trPr>
        <w:tc>
          <w:tcPr>
            <w:tcW w:w="20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风险类别</w:t>
            </w:r>
          </w:p>
        </w:tc>
        <w:tc>
          <w:tcPr>
            <w:tcW w:w="24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具体风险</w:t>
            </w:r>
          </w:p>
        </w:tc>
        <w:tc>
          <w:tcPr>
            <w:tcW w:w="26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莉莉个体因素</w:t>
            </w:r>
          </w:p>
        </w:tc>
        <w:tc>
          <w:tcPr>
            <w:tcW w:w="30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应对措施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喉返神经损伤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声带麻痹，声音嘶哑</w:t>
            </w:r>
          </w:p>
        </w:tc>
        <w:tc>
          <w:tcPr>
            <w:tcW w:w="2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全切手术范围大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术中IONM监测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甲状旁腺损伤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术后低钙血症</w:t>
            </w:r>
          </w:p>
        </w:tc>
        <w:tc>
          <w:tcPr>
            <w:tcW w:w="2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已有骨量减少，低钙耐受差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术中精细解剖+ICG-NIR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b/>
                <w:color w:val="C0392B"/>
                <w:sz w:val="20"/>
              </w:rPr>
              <w:t>心律失常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术中心室早搏/室速加重</w:t>
            </w:r>
          </w:p>
        </w:tc>
        <w:tc>
          <w:tcPr>
            <w:tcW w:w="2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频发室早+室速病史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心内科评估+术中监护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气胸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全麻正压通气致肺大泡破裂</w:t>
            </w:r>
          </w:p>
        </w:tc>
        <w:tc>
          <w:tcPr>
            <w:tcW w:w="2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左肺大泡13x14mm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麻醉科评估通气方案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出血</w:t>
            </w:r>
          </w:p>
        </w:tc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术后出血</w:t>
            </w:r>
          </w:p>
        </w:tc>
        <w:tc>
          <w:tcPr>
            <w:tcW w:w="2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甲状腺区域血管丰富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术后24h密切观察</w:t>
            </w:r>
          </w:p>
        </w:tc>
      </w:tr>
    </w:tbl>
    <w:p>
      <w:r>
        <w:t>【新增要点——基于最新调研】术中神经监测（IONM）是保护喉返神经的关键技术，中国CACA 2022指南推荐在甲状腺全切及淋巴结清扫术中常规使用。甲状旁腺保护方面，除精细被膜解剖外，近红外荧光成像（ICG-NIR）技术可显著降低术后甲旁减发生率，可术前与徐主任确认是否采用。</w:t>
      </w:r>
    </w:p>
    <w:p>
      <w:pPr>
        <w:pStyle w:val="Heading1"/>
      </w:pPr>
      <w:r>
        <w:t>四、术后即刻管理（0-3天）</w:t>
      </w:r>
      <w:bookmarkStart w:name="_Toc004" w:id="5"/>
      <w:bookmarkEnd w:id="5"/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2200"/>
        <w:gridCol w:w="3600"/>
        <w:gridCol w:w="4200"/>
      </w:tblGrid>
      <w:tr>
        <w:trPr>
          <w:tblHeader/>
        </w:trPr>
        <w:tc>
          <w:tcPr>
            <w:tcW w:w="22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时间点</w:t>
            </w:r>
          </w:p>
        </w:tc>
        <w:tc>
          <w:tcPr>
            <w:tcW w:w="36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监测/处理项目</w:t>
            </w:r>
          </w:p>
        </w:tc>
        <w:tc>
          <w:tcPr>
            <w:tcW w:w="42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目的</w:t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术后当天</w:t>
            </w:r>
          </w:p>
        </w:tc>
        <w:tc>
          <w:tcPr>
            <w:tcW w:w="3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血钙+PTH监测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及时发现甲状旁腺功能减退</w:t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术后第1天</w:t>
            </w:r>
          </w:p>
        </w:tc>
        <w:tc>
          <w:tcPr>
            <w:tcW w:w="3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血钙+PTH+声音评估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确认有无低钙症状和神经损伤</w:t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术后第2-3天</w:t>
            </w:r>
          </w:p>
        </w:tc>
        <w:tc>
          <w:tcPr>
            <w:tcW w:w="3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声音评估+血钙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持续监测神经功能和钙水平</w:t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术后第1天</w:t>
            </w:r>
          </w:p>
        </w:tc>
        <w:tc>
          <w:tcPr>
            <w:tcW w:w="3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开始口服优甲乐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甲状腺激素替代治疗</w:t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出院前</w:t>
            </w:r>
          </w:p>
        </w:tc>
        <w:tc>
          <w:tcPr>
            <w:tcW w:w="3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血钙+PTH+伤口检查</w:t>
            </w:r>
          </w:p>
        </w:tc>
        <w:tc>
          <w:tcPr>
            <w:tcW w:w="4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确认可安全出院</w:t>
            </w:r>
          </w:p>
        </w:tc>
      </w:tr>
    </w:tbl>
    <w:p>
      <w:r>
        <w:t>术后第1-2天是低钙血症和声音评估的关键窗口期。患者及家属应密切注意口周麻木、手足刺痛感（低钙症状）以及声音变化（神经损伤迹象），及时向医护团队反馈。</w:t>
      </w:r>
    </w:p>
    <w:p>
      <w:pPr>
        <w:pStyle w:val="Heading1"/>
      </w:pPr>
      <w:r>
        <w:t>五、术后长期随访方案</w:t>
      </w:r>
      <w:bookmarkStart w:name="_Toc005" w:id="6"/>
      <w:bookmarkEnd w:id="6"/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2000"/>
        <w:gridCol w:w="3000"/>
        <w:gridCol w:w="5000"/>
      </w:tblGrid>
      <w:tr>
        <w:trPr>
          <w:tblHeader/>
        </w:trPr>
        <w:tc>
          <w:tcPr>
            <w:tcW w:w="20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时间点</w:t>
            </w:r>
          </w:p>
        </w:tc>
        <w:tc>
          <w:tcPr>
            <w:tcW w:w="30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检查项目</w:t>
            </w:r>
          </w:p>
        </w:tc>
        <w:tc>
          <w:tcPr>
            <w:tcW w:w="50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目标/意义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术后4-6周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甲功（TSH/FT3/FT4）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调整优甲乐剂量，TSH目标0.5-2.0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术后2-3个月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降钙素+CEA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首次评估生化治愈；目标：&lt;1-2 pg/mL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术后6个月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降钙素+CEA+颈部超声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确认生化治愈稳定性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术后1年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全面评估（降钙素+CEA+超声）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年度常规筛查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长期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每6-12月降钙素+CEA；每年颈部超声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终身监测</w:t>
            </w:r>
          </w:p>
        </w:tc>
      </w:tr>
      <w:tr>
        <w:tc>
          <w:tcPr>
            <w:tcW w:w="2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术后1年</w:t>
            </w:r>
          </w:p>
        </w:tc>
        <w:tc>
          <w:tcPr>
            <w:tcW w:w="3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骨密度DXA</w:t>
            </w:r>
          </w:p>
        </w:tc>
        <w:tc>
          <w:tcPr>
            <w:tcW w:w="50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监测髋部骨量变化</w:t>
            </w:r>
          </w:p>
        </w:tc>
      </w:tr>
    </w:tbl>
    <w:p>
      <w:pPr>
        <w:pBdr>
          <w:left w:val="single" w:color="E67E22" w:sz="18"/>
        </w:pBdr>
        <w:shd w:val="clear" w:fill="FFF8E1"/>
        <w:spacing w:before="120" w:after="120"/>
        <w:ind w:left="240" w:firstLine="0"/>
      </w:pPr>
      <w:r>
        <w:rPr>
          <w:rFonts w:ascii="Calibri" w:hAnsi="Calibri" w:eastAsia="Microsoft YaHei"/>
          <w:color w:val="1A3A47"/>
          <w:sz w:val="20"/>
        </w:rPr>
        <w:t>【优甲乐TSH目标调整】原清单写"半切维持正常；全切需替代"。经确认：MTC术后仅需甲状腺激素替代治疗，TSH目标为正常范围低限（0.5-2.0 mIU/L），无需像乳头状癌那样进行TSH抑制治疗。起始剂量通常为1.6-2.2微克/kg/天，术后次日或第2天开始服用。恢复芬吗通后可能需要微调剂量。</w:t>
      </w:r>
    </w:p>
    <w:p>
      <w:r>
        <w:t>【生化治愈标准】术后降钙素降至不可测水平（&lt;1-2 pg/mL）且CEA正常即为生化治愈。生化治愈者10年生存率达95-97%。降钙素倍增时间（CDT）是预测复发的最强独立因子：CDT&gt;24个月者10年生存率接近100%。</w:t>
      </w:r>
    </w:p>
    <w:p>
      <w:pPr>
        <w:pStyle w:val="Heading1"/>
      </w:pPr>
      <w:r>
        <w:t>六、遗传学筛查规划</w:t>
      </w:r>
      <w:bookmarkStart w:name="_Toc006" w:id="7"/>
      <w:bookmarkEnd w:id="7"/>
    </w:p>
    <w:p>
      <w:r>
        <w:t>尽管肿瘤组织体细胞RET检测阴性（10个热点均阴性），但约5-10%的"散发性"MTC实际携带RET胚系突变。术后应尽早安排RET胚系检测，以排除遗传性MTC（MEN2）。</w:t>
      </w:r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2400"/>
        <w:gridCol w:w="7600"/>
      </w:tblGrid>
      <w:tr>
        <w:trPr>
          <w:tblHeader/>
        </w:trPr>
        <w:tc>
          <w:tcPr>
            <w:tcW w:w="24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项目</w:t>
            </w:r>
          </w:p>
        </w:tc>
        <w:tc>
          <w:tcPr>
            <w:tcW w:w="76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内容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检测必要性</w:t>
            </w:r>
          </w:p>
        </w:tc>
        <w:tc>
          <w:tcPr>
            <w:tcW w:w="7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约5-10%"散发性"MTC实际携带RET胚系突变；体细胞检测阴性不能排除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检测方法</w:t>
            </w:r>
          </w:p>
        </w:tc>
        <w:tc>
          <w:tcPr>
            <w:tcW w:w="7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外周血RET基因全序列测序（全外显子），比热点检测更全面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检测时机</w:t>
            </w:r>
          </w:p>
        </w:tc>
        <w:tc>
          <w:tcPr>
            <w:tcW w:w="7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术后尽早安排；协和医院遗传咨询门诊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检测周期</w:t>
            </w:r>
          </w:p>
        </w:tc>
        <w:tc>
          <w:tcPr>
            <w:tcW w:w="7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通常2-4周出结果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若阳性</w:t>
            </w:r>
          </w:p>
        </w:tc>
        <w:tc>
          <w:tcPr>
            <w:tcW w:w="7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子女50%遗传概率；根据ATA风险等级A/B/C/D制定预防性手术时机和监测方案</w:t>
            </w:r>
          </w:p>
        </w:tc>
      </w:tr>
      <w:tr>
        <w:tc>
          <w:tcPr>
            <w:tcW w:w="24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若阴性</w:t>
            </w:r>
          </w:p>
        </w:tc>
        <w:tc>
          <w:tcPr>
            <w:tcW w:w="76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基本排除遗传性MTC，无需家族筛查</w:t>
            </w:r>
          </w:p>
        </w:tc>
      </w:tr>
    </w:tbl>
    <w:p>
      <w:r>
        <w:t>若RET胚系检测阳性，子女有50%遗传概率，需进行级联筛查。根据突变位点风险等级（ATA A/B/C/D），制定预防性甲状腺切除时机和嗜铬细胞瘤/甲旁亢监测方案。</w:t>
      </w:r>
    </w:p>
    <w:p>
      <w:pPr>
        <w:pStyle w:val="Heading1"/>
      </w:pPr>
      <w:r>
        <w:t>七、住院携带清单</w:t>
      </w:r>
      <w:bookmarkStart w:name="_Toc007" w:id="8"/>
      <w:bookmarkEnd w:id="8"/>
    </w:p>
    <w:tbl>
      <w:tblPr>
        <w:tblW w:w="5000" w:type="pct"/>
        <w:tblBorders>
          <w:top w:val="single" w:color="2E6B7A" w:sz="12"/>
          <w:left w:val="nil"/>
          <w:bottom w:val="single" w:color="2E6B7A" w:sz="12"/>
          <w:right w:val="nil"/>
          <w:insideH w:val="single" w:color="B8D4DC" w:sz="4"/>
          <w:insideV w:val="nil"/>
        </w:tblBorders>
      </w:tblPr>
      <w:tblGrid>
        <w:gridCol w:w="1200"/>
        <w:gridCol w:w="8800"/>
      </w:tblGrid>
      <w:tr>
        <w:trPr>
          <w:tblHeader/>
        </w:trPr>
        <w:tc>
          <w:tcPr>
            <w:tcW w:w="12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类别</w:t>
            </w:r>
          </w:p>
        </w:tc>
        <w:tc>
          <w:tcPr>
            <w:tcW w:w="8800" w:type="dxa"/>
            <w:shd w:val="clear" w:fill="E8F2F5"/>
          </w:tcPr>
          <w:p>
            <w:pPr>
              <w:spacing w:before="40" w:after="40"/>
              <w:ind w:firstLine="0"/>
              <w:jc w:val="center"/>
            </w:pPr>
            <w:r>
              <w:rPr>
                <w:rFonts w:ascii="Calibri" w:hAnsi="Calibri" w:eastAsia="Microsoft YaHei"/>
                <w:b/>
                <w:color w:val="1A3A47"/>
                <w:sz w:val="20"/>
              </w:rPr>
              <w:t>具体内容</w:t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检查报告</w:t>
            </w:r>
          </w:p>
        </w:tc>
        <w:tc>
          <w:tcPr>
            <w:tcW w:w="8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颈部超声（全部）、穿刺病理报告、免疫组化、基因检测报告、冠脉CTA、Holter（5次）、心脏超声、骨密度（3次）、肺CT、胃肠镜报告</w:t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近期化验</w:t>
            </w:r>
          </w:p>
        </w:tc>
        <w:tc>
          <w:tcPr>
            <w:tcW w:w="8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甲功、降钙素、CEA、血常规等近期化验单</w:t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用药信息</w:t>
            </w:r>
          </w:p>
        </w:tc>
        <w:tc>
          <w:tcPr>
            <w:tcW w:w="8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芬吗通（具体剂量和品牌）、其他长期用药清单</w:t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个人物品</w:t>
            </w:r>
          </w:p>
        </w:tc>
        <w:tc>
          <w:tcPr>
            <w:tcW w:w="8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身份证、医保卡/保险卡（MSH万欣和）、换洗衣物、洗漱用品</w:t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参考资料</w:t>
            </w:r>
          </w:p>
        </w:tc>
        <w:tc>
          <w:tcPr>
            <w:tcW w:w="8800" w:type="dxa"/>
          </w:tcPr>
          <w:p>
            <w:pPr>
              <w:spacing w:before="40" w:after="40"/>
              <w:ind w:firstLine="0"/>
            </w:pPr>
            <w:r>
              <w:rPr>
                <w:rFonts w:ascii="Calibri" w:hAnsi="Calibri" w:eastAsia="Microsoft YaHei"/>
                <w:color w:val="3D6B7A"/>
                <w:sz w:val="20"/>
              </w:rPr>
              <w:t>本清单打印件、健康档案汇总资料</w:t>
            </w:r>
          </w:p>
        </w:tc>
      </w:tr>
    </w:tbl>
    <w:p>
      <w:pPr>
        <w:sectPr>
          <w:headerReference w:type="default" r:id="R7b5843e17f184fbf"/>
          <w:footerReference w:type="default" r:id="Rf2a633cd170d4554"/>
          <w:pgSz w:w="11906" w:h="16838"/>
          <w:pgMar w:top="1800" w:right="1440" w:bottom="1440" w:left="1440" w:header="720" w:footer="720"/>
        </w:sectPr>
      </w:pPr>
    </w:p>
    <w:p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" name="BackB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Bg.png"/>
                    <pic:cNvPicPr/>
                  </pic:nvPicPr>
                  <pic:blipFill>
                    <a:blip r:embed="R2011c45176ea495f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before="6000"/>
        <w:jc w:val="center"/>
      </w:pPr>
      <w:r>
        <w:rPr>
          <w:rFonts w:ascii="Calibri" w:hAnsi="Calibri" w:eastAsia="Microsoft YaHei"/>
          <w:b/>
          <w:color w:val="2E6B7A"/>
          <w:sz w:val="44"/>
        </w:rPr>
        <w:t>祝手术顺利</w:t>
      </w:r>
    </w:p>
    <w:p>
      <w:pPr>
        <w:spacing w:before="300"/>
        <w:jc w:val="center"/>
      </w:pPr>
      <w:r>
        <w:rPr>
          <w:rFonts w:ascii="Calibri" w:hAnsi="Calibri" w:eastAsia="Microsoft YaHei"/>
          <w:color w:val="4A90A4"/>
          <w:sz w:val="22"/>
        </w:rPr>
        <w:t>安心准备  积极配合  科学康复</w:t>
      </w:r>
    </w:p>
    <w:p>
      <w:pPr>
        <w:spacing w:before="600"/>
        <w:jc w:val="center"/>
      </w:pPr>
      <w:r>
        <w:rPr>
          <w:rFonts w:ascii="Calibri" w:hAnsi="Calibri" w:eastAsia="Microsoft YaHei"/>
          <w:color w:val="7BA3B0"/>
          <w:sz w:val="18"/>
        </w:rPr>
        <w:t>北京协和医院  |  基本外科  |  徐协群主任团队</w:t>
      </w:r>
    </w:p>
    <w:sectPr>
      <w:pgSz w:w="11906" w:h="16838"/>
      <w:pgMar w:top="0" w:right="0" w:bottom="0" w:left="0" w:header="0" w:foo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Calibri" w:hAnsi="Calibri" w:eastAsia="Microsoft YaHei"/>
        <w:color w:val="7BA3B0"/>
        <w:sz w:val="16"/>
      </w:rPr>
      <w:t xml:space="preserve">第 </w:t>
    </w:r>
    <w:r>
      <w:rPr>
        <w:rFonts w:ascii="Calibri" w:hAnsi="Calibri" w:eastAsia="Microsoft YaHei"/>
        <w:color w:val="7BA3B0"/>
        <w:sz w:val="16"/>
      </w:rPr>
      <w:fldChar w:fldCharType="begin"/>
    </w:r>
    <w:r>
      <w:rPr>
        <w:rFonts w:ascii="Calibri" w:hAnsi="Calibri" w:eastAsia="Microsoft YaHei"/>
        <w:color w:val="7BA3B0"/>
        <w:sz w:val="16"/>
      </w:rPr>
      <w:instrText xml:space="preserve"> PAGE </w:instrText>
    </w:r>
    <w:r>
      <w:rPr>
        <w:rFonts w:ascii="Calibri" w:hAnsi="Calibri" w:eastAsia="Microsoft YaHei"/>
        <w:color w:val="7BA3B0"/>
        <w:sz w:val="16"/>
      </w:rPr>
      <w:fldChar w:fldCharType="separate"/>
    </w:r>
    <w:r>
      <w:rPr>
        <w:rFonts w:ascii="Calibri" w:hAnsi="Calibri" w:eastAsia="Microsoft YaHei"/>
        <w:color w:val="7BA3B0"/>
        <w:sz w:val="16"/>
      </w:rPr>
      <w:t xml:space="preserve">1</w:t>
    </w:r>
    <w:r>
      <w:rPr>
        <w:rFonts w:ascii="Calibri" w:hAnsi="Calibri" w:eastAsia="Microsoft YaHei"/>
        <w:color w:val="7BA3B0"/>
        <w:sz w:val="16"/>
      </w:rPr>
      <w:fldChar w:fldCharType="end"/>
    </w:r>
    <w:r>
      <w:rPr>
        <w:rFonts w:ascii="Calibri" w:hAnsi="Calibri" w:eastAsia="Microsoft YaHei"/>
        <w:color w:val="7BA3B0"/>
        <w:sz w:val="16"/>
      </w:rPr>
      <w:t xml:space="preserve"> 页 / 共 </w:t>
    </w:r>
    <w:r>
      <w:rPr>
        <w:rFonts w:ascii="Calibri" w:hAnsi="Calibri" w:eastAsia="Microsoft YaHei"/>
        <w:color w:val="7BA3B0"/>
        <w:sz w:val="16"/>
      </w:rPr>
      <w:fldChar w:fldCharType="begin"/>
    </w:r>
    <w:r>
      <w:rPr>
        <w:rFonts w:ascii="Calibri" w:hAnsi="Calibri" w:eastAsia="Microsoft YaHei"/>
        <w:color w:val="7BA3B0"/>
        <w:sz w:val="16"/>
      </w:rPr>
      <w:instrText xml:space="preserve"> NUMPAGES </w:instrText>
    </w:r>
    <w:r>
      <w:rPr>
        <w:rFonts w:ascii="Calibri" w:hAnsi="Calibri" w:eastAsia="Microsoft YaHei"/>
        <w:color w:val="7BA3B0"/>
        <w:sz w:val="16"/>
      </w:rPr>
      <w:fldChar w:fldCharType="separate"/>
    </w:r>
    <w:r>
      <w:rPr>
        <w:rFonts w:ascii="Calibri" w:hAnsi="Calibri" w:eastAsia="Microsoft YaHei"/>
        <w:color w:val="7BA3B0"/>
        <w:sz w:val="16"/>
      </w:rPr>
      <w:t xml:space="preserve">1</w:t>
    </w:r>
    <w:r>
      <w:rPr>
        <w:rFonts w:ascii="Calibri" w:hAnsi="Calibri" w:eastAsia="Microsoft YaHei"/>
        <w:color w:val="7BA3B0"/>
        <w:sz w:val="16"/>
      </w:rPr>
      <w:fldChar w:fldCharType="end"/>
    </w:r>
    <w:r>
      <w:rPr>
        <w:rFonts w:ascii="Calibri" w:hAnsi="Calibri" w:eastAsia="Microsoft YaHei"/>
        <w:color w:val="7BA3B0"/>
        <w:sz w:val="16"/>
      </w:rPr>
      <w:t xml:space="preserve"> 页</w:t>
    </w:r>
  </w:p>
</w:ftr>
</file>

<file path=word/header1.xml><?xml version="1.0" encoding="utf-8"?>
<w:hdr xmlns:w="http://schemas.openxmlformats.org/wordprocessingml/2006/main">
  <w:p>
    <w:pPr>
      <w:jc w:val="right"/>
    </w:pPr>
    <w:r>
      <w:rPr>
        <w:rFonts w:ascii="Calibri" w:hAnsi="Calibri" w:eastAsia="Microsoft YaHei"/>
        <w:color w:val="7BA3B0"/>
        <w:sz w:val="16"/>
      </w:rPr>
      <w:t>邓莉莉 MTC术前准备清单 | 北京协和医院 | 2026-05-29</w:t>
    </w:r>
  </w:p>
</w:hdr>
</file>

<file path=word/numbering.xml><?xml version="1.0" encoding="utf-8"?>
<w:numbering xmlns:w="http://schemas.openxmlformats.org/wordprocessingml/2006/main">
  <w:abstractNum w:abstractNumId="1">
    <w:lvl w:ilvl="0">
      <w:numFmt w:val="decimal"/>
      <w:lvlText w:val="%1."/>
      <w:lvlJc w:val="left"/>
      <w:pPr>
        <w:ind w:left="72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isplayBackgroundShape/>
  <w:updateFields w:val="true"/>
</w:settings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120" w:line="340" w:lineRule="auto"/>
      <w:ind w:firstLine="480"/>
    </w:pPr>
    <w:rPr>
      <w:rFonts w:ascii="Calibri" w:hAnsi="Calibri" w:eastAsia="Microsoft YaHei"/>
      <w:color w:val="1A3A47"/>
      <w:sz w:val="21"/>
    </w:rPr>
  </w:style>
  <w:style w:type="paragraph" w:styleId="Heading1">
    <w:name w:val="heading 1"/>
    <w:basedOn w:val="Normal"/>
    <w:pPr>
      <w:keepNext/>
      <w:keepLines/>
      <w:spacing w:before="500" w:after="200"/>
      <w:ind w:firstLine="0"/>
      <w:outlineLvl w:val="0"/>
    </w:pPr>
    <w:rPr>
      <w:rFonts w:ascii="Calibri" w:hAnsi="Calibri" w:eastAsia="Microsoft YaHei"/>
      <w:b/>
      <w:color w:val="2E6B7A"/>
      <w:sz w:val="36"/>
    </w:rPr>
  </w:style>
  <w:style w:type="paragraph" w:styleId="Heading2">
    <w:name w:val="heading 2"/>
    <w:basedOn w:val="Normal"/>
    <w:pPr>
      <w:keepNext/>
      <w:keepLines/>
      <w:spacing w:before="360" w:after="120"/>
      <w:ind w:firstLine="0"/>
      <w:outlineLvl w:val="1"/>
    </w:pPr>
    <w:rPr>
      <w:rFonts w:ascii="Calibri" w:hAnsi="Calibri" w:eastAsia="Microsoft YaHei"/>
      <w:b/>
      <w:color w:val="1A3A47"/>
      <w:sz w:val="28"/>
    </w:rPr>
  </w:style>
  <w:style w:type="paragraph" w:styleId="Heading3">
    <w:name w:val="heading 3"/>
    <w:basedOn w:val="Normal"/>
    <w:pPr>
      <w:keepNext/>
      <w:keepLines/>
      <w:spacing w:before="280" w:after="80"/>
      <w:ind w:firstLine="0"/>
      <w:outlineLvl w:val="2"/>
    </w:pPr>
    <w:rPr>
      <w:rFonts w:ascii="Calibri" w:hAnsi="Calibri" w:eastAsia="Microsoft YaHei"/>
      <w:b/>
      <w:color w:val="3D6B7A"/>
      <w:sz w:val="24"/>
    </w:rPr>
  </w:style>
  <w:style w:type="paragraph" w:styleId="Caption">
    <w:name w:val="Caption"/>
    <w:basedOn w:val="Normal"/>
    <w:pPr>
      <w:spacing w:before="40" w:after="240"/>
      <w:ind w:firstLine="0"/>
      <w:jc w:val="center"/>
    </w:pPr>
    <w:rPr>
      <w:rFonts w:ascii="Calibri" w:hAnsi="Calibri" w:eastAsia="Microsoft YaHei"/>
      <w:color w:val="7BA3B0"/>
      <w:sz w:val="18"/>
    </w:rPr>
  </w:style>
  <w:style w:type="paragraph" w:styleId="TOC1">
    <w:name w:val="toc 1"/>
    <w:basedOn w:val="Normal"/>
    <w:pPr>
      <w:tabs>
        <w:tab w:val="right" w:leader="dot" w:pos="9350"/>
      </w:tabs>
      <w:spacing w:before="200" w:after="40"/>
      <w:ind w:left="0" w:firstLine="0"/>
    </w:pPr>
    <w:rPr>
      <w:rFonts w:ascii="Calibri" w:hAnsi="Calibri" w:eastAsia="Microsoft YaHei"/>
      <w:b/>
      <w:color w:val="1A3A47"/>
    </w:rPr>
  </w:style>
  <w:style w:type="paragraph" w:styleId="TOC2">
    <w:name w:val="toc 2"/>
    <w:basedOn w:val="Normal"/>
    <w:pPr>
      <w:tabs>
        <w:tab w:val="right" w:leader="dot" w:pos="9350"/>
      </w:tabs>
      <w:spacing w:before="60" w:after="40"/>
      <w:ind w:left="360" w:firstLine="0"/>
    </w:pPr>
    <w:rPr>
      <w:rFonts w:ascii="Calibri" w:hAnsi="Calibri" w:eastAsia="Microsoft YaHei"/>
      <w:color w:val="3D6B7A"/>
    </w:rPr>
  </w:style>
</w:styles>
</file>

<file path=word/_rels/document.xml.rels><?xml version='1.0' encoding='UTF-8'?>
<Relationships xmlns="http://schemas.openxmlformats.org/package/2006/relationships"><Relationship Type="http://schemas.openxmlformats.org/officeDocument/2006/relationships/styles" Target="styles.xml" Id="R3b2554c76ee047ea" /><Relationship Type="http://schemas.openxmlformats.org/officeDocument/2006/relationships/numbering" Target="numbering.xml" Id="R7f486bd79e0146b8" /><Relationship Type="http://schemas.openxmlformats.org/officeDocument/2006/relationships/image" Target="media/image.png" Id="Reda05abc721d48ea" /><Relationship Type="http://schemas.openxmlformats.org/officeDocument/2006/relationships/image" Target="media/image2.png" Id="R2011c45176ea495f" /><Relationship Type="http://schemas.openxmlformats.org/officeDocument/2006/relationships/header" Target="header1.xml" Id="R7b5843e17f184fbf" /><Relationship Type="http://schemas.openxmlformats.org/officeDocument/2006/relationships/footer" Target="footer1.xml" Id="Rf2a633cd170d4554" /><Relationship Type="http://schemas.openxmlformats.org/officeDocument/2006/relationships/settings" Target="settings.xml" Id="R6867546a0d9b4718" /></Relationships>
</file>